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F0D" w:rsidRPr="00BA4607" w:rsidRDefault="00261F0D" w:rsidP="00BA46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261F0D" w:rsidRPr="008C6575" w:rsidRDefault="00E538EE" w:rsidP="00BA46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C6575">
        <w:rPr>
          <w:rFonts w:ascii="Arial" w:hAnsi="Arial" w:cs="Arial"/>
          <w:b/>
          <w:sz w:val="28"/>
          <w:szCs w:val="28"/>
          <w:u w:val="single"/>
        </w:rPr>
        <w:t>Memorial Descritivo de Serviços</w:t>
      </w:r>
    </w:p>
    <w:p w:rsidR="00E538EE" w:rsidRPr="008C6575" w:rsidRDefault="00E538EE" w:rsidP="00261F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17B4F" w:rsidRPr="008C6575" w:rsidRDefault="00137C57" w:rsidP="00261F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C6575">
        <w:rPr>
          <w:rFonts w:ascii="Arial" w:hAnsi="Arial" w:cs="Arial"/>
          <w:b/>
          <w:sz w:val="24"/>
          <w:szCs w:val="24"/>
        </w:rPr>
        <w:t xml:space="preserve">Obra: </w:t>
      </w:r>
      <w:r w:rsidR="00EE4E74" w:rsidRPr="008C6575">
        <w:rPr>
          <w:rFonts w:ascii="Arial" w:hAnsi="Arial" w:cs="Arial"/>
          <w:b/>
          <w:sz w:val="24"/>
          <w:szCs w:val="24"/>
        </w:rPr>
        <w:t>Reforma da EMEI "</w:t>
      </w:r>
      <w:proofErr w:type="spellStart"/>
      <w:r w:rsidR="00EE4E74" w:rsidRPr="008C6575">
        <w:rPr>
          <w:rFonts w:ascii="Arial" w:hAnsi="Arial" w:cs="Arial"/>
          <w:b/>
          <w:sz w:val="24"/>
          <w:szCs w:val="24"/>
        </w:rPr>
        <w:t>Adércia</w:t>
      </w:r>
      <w:proofErr w:type="spellEnd"/>
      <w:r w:rsidR="00EE4E74" w:rsidRPr="008C6575">
        <w:rPr>
          <w:rFonts w:ascii="Arial" w:hAnsi="Arial" w:cs="Arial"/>
          <w:b/>
          <w:sz w:val="24"/>
          <w:szCs w:val="24"/>
        </w:rPr>
        <w:t xml:space="preserve"> Teixeira Gontijo Ferre</w:t>
      </w:r>
      <w:r w:rsidR="005F37D8">
        <w:rPr>
          <w:rFonts w:ascii="Arial" w:hAnsi="Arial" w:cs="Arial"/>
          <w:b/>
          <w:sz w:val="24"/>
          <w:szCs w:val="24"/>
        </w:rPr>
        <w:t>i</w:t>
      </w:r>
      <w:r w:rsidR="00EE4E74" w:rsidRPr="008C6575">
        <w:rPr>
          <w:rFonts w:ascii="Arial" w:hAnsi="Arial" w:cs="Arial"/>
          <w:b/>
          <w:sz w:val="24"/>
          <w:szCs w:val="24"/>
        </w:rPr>
        <w:t>ra"</w:t>
      </w:r>
      <w:r w:rsidRPr="008C6575">
        <w:rPr>
          <w:rFonts w:ascii="Arial" w:hAnsi="Arial" w:cs="Arial"/>
          <w:b/>
          <w:sz w:val="24"/>
          <w:szCs w:val="24"/>
        </w:rPr>
        <w:t>.</w:t>
      </w:r>
    </w:p>
    <w:p w:rsidR="00261F0D" w:rsidRPr="008C6575" w:rsidRDefault="00EE4E74" w:rsidP="00261F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8C6575">
        <w:rPr>
          <w:rFonts w:ascii="Arial" w:hAnsi="Arial" w:cs="Arial"/>
          <w:b/>
          <w:sz w:val="24"/>
          <w:szCs w:val="24"/>
        </w:rPr>
        <w:t>Rua Santo Paro</w:t>
      </w:r>
      <w:proofErr w:type="gramEnd"/>
      <w:r w:rsidRPr="008C6575">
        <w:rPr>
          <w:rFonts w:ascii="Arial" w:hAnsi="Arial" w:cs="Arial"/>
          <w:b/>
          <w:sz w:val="24"/>
          <w:szCs w:val="24"/>
        </w:rPr>
        <w:t xml:space="preserve">, nº 718, no bairro COHAB 3 - </w:t>
      </w:r>
      <w:r w:rsidR="00517B4F" w:rsidRPr="008C6575">
        <w:rPr>
          <w:rFonts w:ascii="Arial" w:hAnsi="Arial" w:cs="Arial"/>
          <w:b/>
          <w:sz w:val="24"/>
          <w:szCs w:val="24"/>
        </w:rPr>
        <w:t>Colina/SP.</w:t>
      </w:r>
    </w:p>
    <w:p w:rsidR="00261F0D" w:rsidRPr="008C6575" w:rsidRDefault="00261F0D" w:rsidP="00261F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E4E74" w:rsidRPr="008C6575" w:rsidRDefault="00EE4E74" w:rsidP="00EE4E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C6575">
        <w:rPr>
          <w:rFonts w:ascii="Arial" w:hAnsi="Arial" w:cs="Arial"/>
          <w:b/>
          <w:bCs/>
          <w:sz w:val="20"/>
          <w:szCs w:val="20"/>
        </w:rPr>
        <w:t>16.33.062 Calha, rufo, afins em chapa galvanizada nº 24 - corte 1,00 m</w:t>
      </w:r>
    </w:p>
    <w:p w:rsidR="00EE4E74" w:rsidRPr="008C6575" w:rsidRDefault="00EE4E74" w:rsidP="00EE4E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1</w:t>
      </w:r>
      <w:proofErr w:type="gramEnd"/>
      <w:r w:rsidRPr="008C6575">
        <w:rPr>
          <w:rFonts w:ascii="Arial" w:hAnsi="Arial" w:cs="Arial"/>
          <w:sz w:val="20"/>
          <w:szCs w:val="20"/>
        </w:rPr>
        <w:t>) Será medido por comprimento instalado (m).</w:t>
      </w:r>
    </w:p>
    <w:p w:rsidR="00EE4E74" w:rsidRPr="008C6575" w:rsidRDefault="00EE4E74" w:rsidP="00EE4E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2</w:t>
      </w:r>
      <w:proofErr w:type="gramEnd"/>
      <w:r w:rsidRPr="008C6575">
        <w:rPr>
          <w:rFonts w:ascii="Arial" w:hAnsi="Arial" w:cs="Arial"/>
          <w:sz w:val="20"/>
          <w:szCs w:val="20"/>
        </w:rPr>
        <w:t>) O item remunera o fornecimento e instalação de calhas ou rufos em chapa galvanizada nº 24, com largura de 100 cm; inclusive materiais acessórios para emendas, junção em outras peças, vedação e fixação.</w:t>
      </w:r>
    </w:p>
    <w:p w:rsidR="00EE4E74" w:rsidRPr="008C6575" w:rsidRDefault="00EE4E74" w:rsidP="00EE4E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C6575">
        <w:rPr>
          <w:rFonts w:ascii="Arial" w:hAnsi="Arial" w:cs="Arial"/>
          <w:b/>
          <w:bCs/>
          <w:sz w:val="20"/>
          <w:szCs w:val="20"/>
        </w:rPr>
        <w:t>03.08.040 Demolição manual de forro qualquer, inclusive sistema de fixação/</w:t>
      </w:r>
      <w:proofErr w:type="spellStart"/>
      <w:r w:rsidRPr="008C6575">
        <w:rPr>
          <w:rFonts w:ascii="Arial" w:hAnsi="Arial" w:cs="Arial"/>
          <w:b/>
          <w:bCs/>
          <w:sz w:val="20"/>
          <w:szCs w:val="20"/>
        </w:rPr>
        <w:t>tarugamento</w:t>
      </w:r>
      <w:proofErr w:type="spellEnd"/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1</w:t>
      </w:r>
      <w:proofErr w:type="gramEnd"/>
      <w:r w:rsidRPr="008C6575">
        <w:rPr>
          <w:rFonts w:ascii="Arial" w:hAnsi="Arial" w:cs="Arial"/>
          <w:sz w:val="20"/>
          <w:szCs w:val="20"/>
        </w:rPr>
        <w:t>) Será medido por área real de forro demolido, inclusive sistema de fixação, medida no projeto, ou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conforme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levantamento cadastral, ou aferida antes da demolição (</w:t>
      </w:r>
      <w:proofErr w:type="spellStart"/>
      <w:r w:rsidRPr="008C6575">
        <w:rPr>
          <w:rFonts w:ascii="Arial" w:hAnsi="Arial" w:cs="Arial"/>
          <w:sz w:val="20"/>
          <w:szCs w:val="20"/>
        </w:rPr>
        <w:t>m²</w:t>
      </w:r>
      <w:proofErr w:type="spellEnd"/>
      <w:r w:rsidRPr="008C6575">
        <w:rPr>
          <w:rFonts w:ascii="Arial" w:hAnsi="Arial" w:cs="Arial"/>
          <w:sz w:val="20"/>
          <w:szCs w:val="20"/>
        </w:rPr>
        <w:t>).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2</w:t>
      </w:r>
      <w:proofErr w:type="gramEnd"/>
      <w:r w:rsidRPr="008C6575">
        <w:rPr>
          <w:rFonts w:ascii="Arial" w:hAnsi="Arial" w:cs="Arial"/>
          <w:sz w:val="20"/>
          <w:szCs w:val="20"/>
        </w:rPr>
        <w:t>) O item remunera o fornecimento da mão de obra necessária e ferramentas adequadas para a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execução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dos serviços de: demolição, fragmentação de forro em qualquer material, inclusive o</w:t>
      </w:r>
    </w:p>
    <w:p w:rsidR="00EE4E74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sistema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de fixação (</w:t>
      </w:r>
      <w:proofErr w:type="spellStart"/>
      <w:r w:rsidRPr="008C6575">
        <w:rPr>
          <w:rFonts w:ascii="Arial" w:hAnsi="Arial" w:cs="Arial"/>
          <w:sz w:val="20"/>
          <w:szCs w:val="20"/>
        </w:rPr>
        <w:t>tarugamento</w:t>
      </w:r>
      <w:proofErr w:type="spellEnd"/>
      <w:r w:rsidRPr="008C6575">
        <w:rPr>
          <w:rFonts w:ascii="Arial" w:hAnsi="Arial" w:cs="Arial"/>
          <w:sz w:val="20"/>
          <w:szCs w:val="20"/>
        </w:rPr>
        <w:t>), manualmente; a seleção e a acomodação manual do entulho em lotes. Normas técnicas: NBR 15112, NBR 15113 e NBR 15114.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C6575">
        <w:rPr>
          <w:rFonts w:ascii="Arial" w:hAnsi="Arial" w:cs="Arial"/>
          <w:b/>
          <w:bCs/>
          <w:sz w:val="20"/>
          <w:szCs w:val="20"/>
        </w:rPr>
        <w:t>22.03.070 Forro em lâmina de PVC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1</w:t>
      </w:r>
      <w:proofErr w:type="gramEnd"/>
      <w:r w:rsidRPr="008C6575">
        <w:rPr>
          <w:rFonts w:ascii="Arial" w:hAnsi="Arial" w:cs="Arial"/>
          <w:sz w:val="20"/>
          <w:szCs w:val="20"/>
        </w:rPr>
        <w:t>) Será medido por área de forro instalado (</w:t>
      </w:r>
      <w:proofErr w:type="spellStart"/>
      <w:r w:rsidRPr="008C6575">
        <w:rPr>
          <w:rFonts w:ascii="Arial" w:hAnsi="Arial" w:cs="Arial"/>
          <w:sz w:val="20"/>
          <w:szCs w:val="20"/>
        </w:rPr>
        <w:t>m²</w:t>
      </w:r>
      <w:proofErr w:type="spellEnd"/>
      <w:r w:rsidRPr="008C6575">
        <w:rPr>
          <w:rFonts w:ascii="Arial" w:hAnsi="Arial" w:cs="Arial"/>
          <w:sz w:val="20"/>
          <w:szCs w:val="20"/>
        </w:rPr>
        <w:t>).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2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) O item remunera o fornecimento e instalação de forro alveolar </w:t>
      </w:r>
      <w:proofErr w:type="spellStart"/>
      <w:r w:rsidRPr="008C6575">
        <w:rPr>
          <w:rFonts w:ascii="Arial" w:hAnsi="Arial" w:cs="Arial"/>
          <w:sz w:val="20"/>
          <w:szCs w:val="20"/>
        </w:rPr>
        <w:t>extrudado</w:t>
      </w:r>
      <w:proofErr w:type="spellEnd"/>
      <w:r w:rsidRPr="008C6575">
        <w:rPr>
          <w:rFonts w:ascii="Arial" w:hAnsi="Arial" w:cs="Arial"/>
          <w:sz w:val="20"/>
          <w:szCs w:val="20"/>
        </w:rPr>
        <w:t>, em lâminas de PVC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rígido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C6575">
        <w:rPr>
          <w:rFonts w:ascii="Arial" w:hAnsi="Arial" w:cs="Arial"/>
          <w:sz w:val="20"/>
          <w:szCs w:val="20"/>
        </w:rPr>
        <w:t>auto-extingüível</w:t>
      </w:r>
      <w:proofErr w:type="spellEnd"/>
      <w:r w:rsidRPr="008C6575">
        <w:rPr>
          <w:rFonts w:ascii="Arial" w:hAnsi="Arial" w:cs="Arial"/>
          <w:sz w:val="20"/>
          <w:szCs w:val="20"/>
        </w:rPr>
        <w:t>, imune à corrosão, resistente a álcool e materiais de limpeza, constituído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por</w:t>
      </w:r>
      <w:proofErr w:type="gramEnd"/>
      <w:r w:rsidRPr="008C6575">
        <w:rPr>
          <w:rFonts w:ascii="Arial" w:hAnsi="Arial" w:cs="Arial"/>
          <w:sz w:val="20"/>
          <w:szCs w:val="20"/>
        </w:rPr>
        <w:t>: lâminas com largura de 100 mm e espessuras de 8 a 10 mm, ou lâminas com largura de 200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>mm e espessuras de 10 a 15 mm, conforme o fabricante; estrutura de sustentação primária, em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tubos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de aço galvanizado de 20 x 20 mm, espessura de 1 mm, com espaçamento máximo de: 500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>mm, para lâminas de 100 mm, 800 mm, para lâminas de 200 mm; estrutura de sustentação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secundária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em perfil cartola de 1 1/4 x 5/8, espessura de 0,7 mm, com espaçamento máximo de: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>1000 mm, para lâminas de 100 mm, e 1200 mm, para lâminas de 200 mm; materiais acessórios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para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fixação; cantoneiras em PVC, para arremates em geral; referência comercial T100 / T200 da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 xml:space="preserve">Tigre, </w:t>
      </w:r>
      <w:proofErr w:type="spellStart"/>
      <w:r w:rsidRPr="008C6575">
        <w:rPr>
          <w:rFonts w:ascii="Arial" w:hAnsi="Arial" w:cs="Arial"/>
          <w:sz w:val="20"/>
          <w:szCs w:val="20"/>
        </w:rPr>
        <w:t>Multiperfil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MP100 / MP200 da </w:t>
      </w:r>
      <w:proofErr w:type="spellStart"/>
      <w:r w:rsidRPr="008C6575">
        <w:rPr>
          <w:rFonts w:ascii="Arial" w:hAnsi="Arial" w:cs="Arial"/>
          <w:sz w:val="20"/>
          <w:szCs w:val="20"/>
        </w:rPr>
        <w:t>Multiplast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C6575">
        <w:rPr>
          <w:rFonts w:ascii="Arial" w:hAnsi="Arial" w:cs="Arial"/>
          <w:sz w:val="20"/>
          <w:szCs w:val="20"/>
        </w:rPr>
        <w:t>Plastiforro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100 / 200 da </w:t>
      </w:r>
      <w:proofErr w:type="spellStart"/>
      <w:r w:rsidRPr="008C6575">
        <w:rPr>
          <w:rFonts w:ascii="Arial" w:hAnsi="Arial" w:cs="Arial"/>
          <w:sz w:val="20"/>
          <w:szCs w:val="20"/>
        </w:rPr>
        <w:t>Petrol</w:t>
      </w:r>
      <w:proofErr w:type="spellEnd"/>
      <w:r w:rsidRPr="008C6575">
        <w:rPr>
          <w:rFonts w:ascii="Arial" w:hAnsi="Arial" w:cs="Arial"/>
          <w:sz w:val="20"/>
          <w:szCs w:val="20"/>
        </w:rPr>
        <w:t>, 100 / 200 da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8C6575">
        <w:rPr>
          <w:rFonts w:ascii="Arial" w:hAnsi="Arial" w:cs="Arial"/>
          <w:sz w:val="20"/>
          <w:szCs w:val="20"/>
        </w:rPr>
        <w:t>Medabil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, 100 / 200 da </w:t>
      </w:r>
      <w:proofErr w:type="spellStart"/>
      <w:r w:rsidRPr="008C6575">
        <w:rPr>
          <w:rFonts w:ascii="Arial" w:hAnsi="Arial" w:cs="Arial"/>
          <w:sz w:val="20"/>
          <w:szCs w:val="20"/>
        </w:rPr>
        <w:t>Anflo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ou equivalente.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C6575">
        <w:rPr>
          <w:rFonts w:ascii="Arial" w:hAnsi="Arial" w:cs="Arial"/>
          <w:b/>
          <w:bCs/>
          <w:sz w:val="20"/>
          <w:szCs w:val="20"/>
        </w:rPr>
        <w:t xml:space="preserve">22.02.030 Forro em painéis de gesso </w:t>
      </w:r>
      <w:proofErr w:type="spellStart"/>
      <w:r w:rsidRPr="008C6575">
        <w:rPr>
          <w:rFonts w:ascii="Arial" w:hAnsi="Arial" w:cs="Arial"/>
          <w:b/>
          <w:bCs/>
          <w:sz w:val="20"/>
          <w:szCs w:val="20"/>
        </w:rPr>
        <w:t>acartonado</w:t>
      </w:r>
      <w:proofErr w:type="spellEnd"/>
      <w:r w:rsidRPr="008C6575">
        <w:rPr>
          <w:rFonts w:ascii="Arial" w:hAnsi="Arial" w:cs="Arial"/>
          <w:b/>
          <w:bCs/>
          <w:sz w:val="20"/>
          <w:szCs w:val="20"/>
        </w:rPr>
        <w:t xml:space="preserve">, espessura de 12,5mm, </w:t>
      </w:r>
      <w:proofErr w:type="gramStart"/>
      <w:r w:rsidRPr="008C6575">
        <w:rPr>
          <w:rFonts w:ascii="Arial" w:hAnsi="Arial" w:cs="Arial"/>
          <w:b/>
          <w:bCs/>
          <w:sz w:val="20"/>
          <w:szCs w:val="20"/>
        </w:rPr>
        <w:t>fixo</w:t>
      </w:r>
      <w:proofErr w:type="gramEnd"/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1</w:t>
      </w:r>
      <w:proofErr w:type="gramEnd"/>
      <w:r w:rsidRPr="008C6575">
        <w:rPr>
          <w:rFonts w:ascii="Arial" w:hAnsi="Arial" w:cs="Arial"/>
          <w:sz w:val="20"/>
          <w:szCs w:val="20"/>
        </w:rPr>
        <w:t>) Será medido por área desenvolvida de forro executado (</w:t>
      </w:r>
      <w:proofErr w:type="spellStart"/>
      <w:r w:rsidRPr="008C6575">
        <w:rPr>
          <w:rFonts w:ascii="Arial" w:hAnsi="Arial" w:cs="Arial"/>
          <w:sz w:val="20"/>
          <w:szCs w:val="20"/>
        </w:rPr>
        <w:t>m²</w:t>
      </w:r>
      <w:proofErr w:type="spellEnd"/>
      <w:r w:rsidRPr="008C6575">
        <w:rPr>
          <w:rFonts w:ascii="Arial" w:hAnsi="Arial" w:cs="Arial"/>
          <w:sz w:val="20"/>
          <w:szCs w:val="20"/>
        </w:rPr>
        <w:t>).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2</w:t>
      </w:r>
      <w:proofErr w:type="gramEnd"/>
      <w:r w:rsidRPr="008C6575">
        <w:rPr>
          <w:rFonts w:ascii="Arial" w:hAnsi="Arial" w:cs="Arial"/>
          <w:sz w:val="20"/>
          <w:szCs w:val="20"/>
        </w:rPr>
        <w:t>) O item remunera o fornecimento e instalação de forro monolítico em gesso para uso interno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8C6575">
        <w:rPr>
          <w:rFonts w:ascii="Arial" w:hAnsi="Arial" w:cs="Arial"/>
          <w:sz w:val="20"/>
          <w:szCs w:val="20"/>
        </w:rPr>
        <w:t>drywall</w:t>
      </w:r>
      <w:proofErr w:type="spellEnd"/>
      <w:proofErr w:type="gramEnd"/>
      <w:r w:rsidRPr="008C6575">
        <w:rPr>
          <w:rFonts w:ascii="Arial" w:hAnsi="Arial" w:cs="Arial"/>
          <w:sz w:val="20"/>
          <w:szCs w:val="20"/>
        </w:rPr>
        <w:t>, retos ou curvos, horizontais ou inclinados constituído por: Estrutura em perfis leves de aço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galvanizado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com </w:t>
      </w:r>
      <w:proofErr w:type="spellStart"/>
      <w:r w:rsidRPr="008C6575">
        <w:rPr>
          <w:rFonts w:ascii="Arial" w:hAnsi="Arial" w:cs="Arial"/>
          <w:sz w:val="20"/>
          <w:szCs w:val="20"/>
        </w:rPr>
        <w:t>zincagem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tipo B (260 g / </w:t>
      </w:r>
      <w:proofErr w:type="spellStart"/>
      <w:r w:rsidRPr="008C6575">
        <w:rPr>
          <w:rFonts w:ascii="Arial" w:hAnsi="Arial" w:cs="Arial"/>
          <w:sz w:val="20"/>
          <w:szCs w:val="20"/>
        </w:rPr>
        <w:t>m²</w:t>
      </w:r>
      <w:proofErr w:type="spellEnd"/>
      <w:r w:rsidRPr="008C6575">
        <w:rPr>
          <w:rFonts w:ascii="Arial" w:hAnsi="Arial" w:cs="Arial"/>
          <w:sz w:val="20"/>
          <w:szCs w:val="20"/>
        </w:rPr>
        <w:t>), compreendendo: perfis de aço com espessura de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 xml:space="preserve">0,50 mm, denominados </w:t>
      </w:r>
      <w:proofErr w:type="spellStart"/>
      <w:r w:rsidRPr="008C6575">
        <w:rPr>
          <w:rFonts w:ascii="Arial" w:hAnsi="Arial" w:cs="Arial"/>
          <w:sz w:val="20"/>
          <w:szCs w:val="20"/>
        </w:rPr>
        <w:t>canaletas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longitudinais ou perfil </w:t>
      </w:r>
      <w:proofErr w:type="spellStart"/>
      <w:r w:rsidRPr="008C6575">
        <w:rPr>
          <w:rFonts w:ascii="Arial" w:hAnsi="Arial" w:cs="Arial"/>
          <w:sz w:val="20"/>
          <w:szCs w:val="20"/>
        </w:rPr>
        <w:t>tabica</w:t>
      </w:r>
      <w:proofErr w:type="spellEnd"/>
      <w:r w:rsidRPr="008C6575">
        <w:rPr>
          <w:rFonts w:ascii="Arial" w:hAnsi="Arial" w:cs="Arial"/>
          <w:sz w:val="20"/>
          <w:szCs w:val="20"/>
        </w:rPr>
        <w:t>, espaçados a cada 60 cm, união em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aço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para a fixação dos perfis longitudinais, entre si; presilhas de regulagem em aço, para a fixação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dos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perfis nos pendurais de sustentação do forro, suspensão com regulagem em aço galvanizado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para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a fixação dos montantes, pendurais em arame galvanizado nº 10 (BWG), parafusos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8C6575">
        <w:rPr>
          <w:rFonts w:ascii="Arial" w:hAnsi="Arial" w:cs="Arial"/>
          <w:sz w:val="20"/>
          <w:szCs w:val="20"/>
        </w:rPr>
        <w:t>autoperfurantes</w:t>
      </w:r>
      <w:proofErr w:type="spellEnd"/>
      <w:proofErr w:type="gramEnd"/>
      <w:r w:rsidRPr="008C6575">
        <w:rPr>
          <w:rFonts w:ascii="Arial" w:hAnsi="Arial" w:cs="Arial"/>
          <w:sz w:val="20"/>
          <w:szCs w:val="20"/>
        </w:rPr>
        <w:t xml:space="preserve"> e </w:t>
      </w:r>
      <w:proofErr w:type="spellStart"/>
      <w:r w:rsidRPr="008C6575">
        <w:rPr>
          <w:rFonts w:ascii="Arial" w:hAnsi="Arial" w:cs="Arial"/>
          <w:sz w:val="20"/>
          <w:szCs w:val="20"/>
        </w:rPr>
        <w:t>atarraxantes</w:t>
      </w:r>
      <w:proofErr w:type="spellEnd"/>
      <w:r w:rsidRPr="008C6575">
        <w:rPr>
          <w:rFonts w:ascii="Arial" w:hAnsi="Arial" w:cs="Arial"/>
          <w:sz w:val="20"/>
          <w:szCs w:val="20"/>
        </w:rPr>
        <w:t>, galvanizados para a fixação das chapas e perfil / perfil, uma chapa,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lastRenderedPageBreak/>
        <w:t>fixada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na face externa da estrutura, industrializada a partir da gipsita natural e cartão duplex, tipo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standard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(ST), com espessura de 12,5 mm, fita de papel </w:t>
      </w:r>
      <w:proofErr w:type="spellStart"/>
      <w:r w:rsidRPr="008C6575">
        <w:rPr>
          <w:rFonts w:ascii="Arial" w:hAnsi="Arial" w:cs="Arial"/>
          <w:sz w:val="20"/>
          <w:szCs w:val="20"/>
        </w:rPr>
        <w:t>microperfurada</w:t>
      </w:r>
      <w:proofErr w:type="spellEnd"/>
      <w:r w:rsidRPr="008C6575">
        <w:rPr>
          <w:rFonts w:ascii="Arial" w:hAnsi="Arial" w:cs="Arial"/>
          <w:sz w:val="20"/>
          <w:szCs w:val="20"/>
        </w:rPr>
        <w:t>, empregada nas juntas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entre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chapas, fita de papel, com reforço metálico, para acabamento e proteção das chapas nos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cantos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salientes, quando houver; massa especial para rejuntamento de pega rápida em pó, para o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preparo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da superfície a ser calafetada, e massa especial para a </w:t>
      </w:r>
      <w:proofErr w:type="spellStart"/>
      <w:r w:rsidRPr="008C6575">
        <w:rPr>
          <w:rFonts w:ascii="Arial" w:hAnsi="Arial" w:cs="Arial"/>
          <w:sz w:val="20"/>
          <w:szCs w:val="20"/>
        </w:rPr>
        <w:t>calafetação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e colagem das chapas;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referência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comercial Forro FGE da </w:t>
      </w:r>
      <w:proofErr w:type="spellStart"/>
      <w:r w:rsidRPr="008C6575">
        <w:rPr>
          <w:rFonts w:ascii="Arial" w:hAnsi="Arial" w:cs="Arial"/>
          <w:sz w:val="20"/>
          <w:szCs w:val="20"/>
        </w:rPr>
        <w:t>Lafarge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6575">
        <w:rPr>
          <w:rFonts w:ascii="Arial" w:hAnsi="Arial" w:cs="Arial"/>
          <w:sz w:val="20"/>
          <w:szCs w:val="20"/>
        </w:rPr>
        <w:t>Gypsum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C6575">
        <w:rPr>
          <w:rFonts w:ascii="Arial" w:hAnsi="Arial" w:cs="Arial"/>
          <w:sz w:val="20"/>
          <w:szCs w:val="20"/>
        </w:rPr>
        <w:t>Placostil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F530 da Placo ou equivalente.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>Remunera também todo o material acessório, equipamentos e a mão de obra necessária para a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execução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de forros, de acordo com as recomendações e especificações dos fabricantes, inclusive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execução de recortes para luminárias, pilares ou vigas, não devendo ser descontados os vãos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decorrentes</w:t>
      </w:r>
      <w:proofErr w:type="gramEnd"/>
      <w:r w:rsidRPr="008C6575">
        <w:rPr>
          <w:rFonts w:ascii="Arial" w:hAnsi="Arial" w:cs="Arial"/>
          <w:sz w:val="20"/>
          <w:szCs w:val="20"/>
        </w:rPr>
        <w:t>. Após o rejuntamento, os forros em chapas de gesso deverão apresentar a superfície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lisa</w:t>
      </w:r>
      <w:proofErr w:type="gramEnd"/>
      <w:r w:rsidRPr="008C6575">
        <w:rPr>
          <w:rFonts w:ascii="Arial" w:hAnsi="Arial" w:cs="Arial"/>
          <w:sz w:val="20"/>
          <w:szCs w:val="20"/>
        </w:rPr>
        <w:t>, monolítica e sem junta aparente, para receber acabamento final em pintura. Não remunera o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fornecimento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do acabamento final em pintura, nem </w:t>
      </w:r>
      <w:proofErr w:type="spellStart"/>
      <w:r w:rsidRPr="008C6575">
        <w:rPr>
          <w:rFonts w:ascii="Arial" w:hAnsi="Arial" w:cs="Arial"/>
          <w:sz w:val="20"/>
          <w:szCs w:val="20"/>
        </w:rPr>
        <w:t>sancas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ou molduras especiais. Normas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técnicas</w:t>
      </w:r>
      <w:proofErr w:type="gramEnd"/>
      <w:r w:rsidRPr="008C6575">
        <w:rPr>
          <w:rFonts w:ascii="Arial" w:hAnsi="Arial" w:cs="Arial"/>
          <w:sz w:val="20"/>
          <w:szCs w:val="20"/>
        </w:rPr>
        <w:t>: NBR 14715-1 e 15758-2.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C6575">
        <w:rPr>
          <w:rFonts w:ascii="Arial" w:hAnsi="Arial" w:cs="Arial"/>
          <w:b/>
          <w:bCs/>
          <w:sz w:val="20"/>
          <w:szCs w:val="20"/>
        </w:rPr>
        <w:t>03.05.020 Demolição manual de revestimento sintético, incluindo a base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1</w:t>
      </w:r>
      <w:proofErr w:type="gramEnd"/>
      <w:r w:rsidRPr="008C6575">
        <w:rPr>
          <w:rFonts w:ascii="Arial" w:hAnsi="Arial" w:cs="Arial"/>
          <w:sz w:val="20"/>
          <w:szCs w:val="20"/>
        </w:rPr>
        <w:t>) Será medido por área real de revestimento sintético, inclusive a base, demolido, medida no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projeto</w:t>
      </w:r>
      <w:proofErr w:type="gramEnd"/>
      <w:r w:rsidRPr="008C6575">
        <w:rPr>
          <w:rFonts w:ascii="Arial" w:hAnsi="Arial" w:cs="Arial"/>
          <w:sz w:val="20"/>
          <w:szCs w:val="20"/>
        </w:rPr>
        <w:t>, ou conforme levantamento cadastral, ou aferida antes da demolição(</w:t>
      </w:r>
      <w:proofErr w:type="spellStart"/>
      <w:r w:rsidRPr="008C6575">
        <w:rPr>
          <w:rFonts w:ascii="Arial" w:hAnsi="Arial" w:cs="Arial"/>
          <w:sz w:val="20"/>
          <w:szCs w:val="20"/>
        </w:rPr>
        <w:t>m²</w:t>
      </w:r>
      <w:proofErr w:type="spellEnd"/>
      <w:r w:rsidRPr="008C6575">
        <w:rPr>
          <w:rFonts w:ascii="Arial" w:hAnsi="Arial" w:cs="Arial"/>
          <w:sz w:val="20"/>
          <w:szCs w:val="20"/>
        </w:rPr>
        <w:t>).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2</w:t>
      </w:r>
      <w:proofErr w:type="gramEnd"/>
      <w:r w:rsidRPr="008C6575">
        <w:rPr>
          <w:rFonts w:ascii="Arial" w:hAnsi="Arial" w:cs="Arial"/>
          <w:sz w:val="20"/>
          <w:szCs w:val="20"/>
        </w:rPr>
        <w:t>) O item remunera o fornecimento da mão-de-obra necessária e ferramentas adequadas para a execução dos serviços de: demolição, fragmentação de revestimentos sintéticos em geral,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inclusive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a base de assentamento, manualmente; a seleção e a acomodação manual do entulho em lotes. Normas técnicas: NBR 15112, NBR 15113 e NBR 15114.</w:t>
      </w:r>
    </w:p>
    <w:p w:rsidR="00EE4E74" w:rsidRPr="008C6575" w:rsidRDefault="00EE4E74" w:rsidP="00EE4E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C6575">
        <w:rPr>
          <w:rFonts w:ascii="Arial" w:hAnsi="Arial" w:cs="Arial"/>
          <w:b/>
          <w:bCs/>
          <w:sz w:val="20"/>
          <w:szCs w:val="20"/>
        </w:rPr>
        <w:t xml:space="preserve">18.08.032 Revestimento em </w:t>
      </w:r>
      <w:proofErr w:type="spellStart"/>
      <w:r w:rsidRPr="008C6575">
        <w:rPr>
          <w:rFonts w:ascii="Arial" w:hAnsi="Arial" w:cs="Arial"/>
          <w:b/>
          <w:bCs/>
          <w:sz w:val="20"/>
          <w:szCs w:val="20"/>
        </w:rPr>
        <w:t>porcelanato</w:t>
      </w:r>
      <w:proofErr w:type="spellEnd"/>
      <w:r w:rsidRPr="008C6575">
        <w:rPr>
          <w:rFonts w:ascii="Arial" w:hAnsi="Arial" w:cs="Arial"/>
          <w:b/>
          <w:bCs/>
          <w:sz w:val="20"/>
          <w:szCs w:val="20"/>
        </w:rPr>
        <w:t xml:space="preserve"> esmaltado antiderrapante para área externa e ambiente com alto tráfego, grupo de absorção </w:t>
      </w:r>
      <w:proofErr w:type="spellStart"/>
      <w:proofErr w:type="gramStart"/>
      <w:r w:rsidRPr="008C6575">
        <w:rPr>
          <w:rFonts w:ascii="Arial" w:hAnsi="Arial" w:cs="Arial"/>
          <w:b/>
          <w:bCs/>
          <w:sz w:val="20"/>
          <w:szCs w:val="20"/>
        </w:rPr>
        <w:t>BIa</w:t>
      </w:r>
      <w:proofErr w:type="spellEnd"/>
      <w:proofErr w:type="gramEnd"/>
      <w:r w:rsidRPr="008C6575">
        <w:rPr>
          <w:rFonts w:ascii="Arial" w:hAnsi="Arial" w:cs="Arial"/>
          <w:b/>
          <w:bCs/>
          <w:sz w:val="20"/>
          <w:szCs w:val="20"/>
        </w:rPr>
        <w:t>, assentado com argamassa colante industrializada, rejuntado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1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) Será medido pela área de revestimento com placa em </w:t>
      </w:r>
      <w:proofErr w:type="spellStart"/>
      <w:r w:rsidRPr="008C6575">
        <w:rPr>
          <w:rFonts w:ascii="Arial" w:hAnsi="Arial" w:cs="Arial"/>
          <w:sz w:val="20"/>
          <w:szCs w:val="20"/>
        </w:rPr>
        <w:t>porcelanato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esmaltado antiderrapante, descontando-se toda e qualquer interferência, acrescentando-se as áreas desenvolvidas por </w:t>
      </w:r>
      <w:proofErr w:type="spellStart"/>
      <w:r w:rsidRPr="008C6575">
        <w:rPr>
          <w:rFonts w:ascii="Arial" w:hAnsi="Arial" w:cs="Arial"/>
          <w:sz w:val="20"/>
          <w:szCs w:val="20"/>
        </w:rPr>
        <w:t>espaletas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ou dobras (</w:t>
      </w:r>
      <w:proofErr w:type="spellStart"/>
      <w:r w:rsidRPr="008C6575">
        <w:rPr>
          <w:rFonts w:ascii="Arial" w:hAnsi="Arial" w:cs="Arial"/>
          <w:sz w:val="20"/>
          <w:szCs w:val="20"/>
        </w:rPr>
        <w:t>m²</w:t>
      </w:r>
      <w:proofErr w:type="spellEnd"/>
      <w:r w:rsidRPr="008C6575">
        <w:rPr>
          <w:rFonts w:ascii="Arial" w:hAnsi="Arial" w:cs="Arial"/>
          <w:sz w:val="20"/>
          <w:szCs w:val="20"/>
        </w:rPr>
        <w:t>).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2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) O item remunera o fornecimento, assentamento e rejuntamento de placa em </w:t>
      </w:r>
      <w:proofErr w:type="spellStart"/>
      <w:r w:rsidRPr="008C6575">
        <w:rPr>
          <w:rFonts w:ascii="Arial" w:hAnsi="Arial" w:cs="Arial"/>
          <w:sz w:val="20"/>
          <w:szCs w:val="20"/>
        </w:rPr>
        <w:t>porcelanato</w:t>
      </w:r>
      <w:proofErr w:type="spellEnd"/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esmaltado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tipo antiderrapante, indicado para áreas externas e ambientes com alto tráfego, com as seguintes características: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 xml:space="preserve">a) Referência comercial: Eliane, </w:t>
      </w:r>
      <w:proofErr w:type="spellStart"/>
      <w:r w:rsidRPr="008C6575">
        <w:rPr>
          <w:rFonts w:ascii="Arial" w:hAnsi="Arial" w:cs="Arial"/>
          <w:sz w:val="20"/>
          <w:szCs w:val="20"/>
        </w:rPr>
        <w:t>Itagres</w:t>
      </w:r>
      <w:proofErr w:type="spellEnd"/>
      <w:r w:rsidRPr="008C6575">
        <w:rPr>
          <w:rFonts w:ascii="Arial" w:hAnsi="Arial" w:cs="Arial"/>
          <w:sz w:val="20"/>
          <w:szCs w:val="20"/>
        </w:rPr>
        <w:t>, Elizabeth, Cecrisa-Portinari ou equivalente;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 xml:space="preserve">b) Absorção de água: </w:t>
      </w:r>
      <w:proofErr w:type="spellStart"/>
      <w:r w:rsidRPr="008C6575">
        <w:rPr>
          <w:rFonts w:ascii="Arial" w:hAnsi="Arial" w:cs="Arial"/>
          <w:sz w:val="20"/>
          <w:szCs w:val="20"/>
        </w:rPr>
        <w:t>Abs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&lt;= 0,5%, grupo </w:t>
      </w:r>
      <w:proofErr w:type="spellStart"/>
      <w:proofErr w:type="gramStart"/>
      <w:r w:rsidRPr="008C6575">
        <w:rPr>
          <w:rFonts w:ascii="Arial" w:hAnsi="Arial" w:cs="Arial"/>
          <w:sz w:val="20"/>
          <w:szCs w:val="20"/>
        </w:rPr>
        <w:t>BIa</w:t>
      </w:r>
      <w:proofErr w:type="spellEnd"/>
      <w:proofErr w:type="gramEnd"/>
      <w:r w:rsidRPr="008C6575">
        <w:rPr>
          <w:rFonts w:ascii="Arial" w:hAnsi="Arial" w:cs="Arial"/>
          <w:sz w:val="20"/>
          <w:szCs w:val="20"/>
        </w:rPr>
        <w:t xml:space="preserve"> classificação </w:t>
      </w:r>
      <w:proofErr w:type="spellStart"/>
      <w:r w:rsidRPr="008C6575">
        <w:rPr>
          <w:rFonts w:ascii="Arial" w:hAnsi="Arial" w:cs="Arial"/>
          <w:sz w:val="20"/>
          <w:szCs w:val="20"/>
        </w:rPr>
        <w:t>Porcelanato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(baixa absorção,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resistência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mecânica alta);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 xml:space="preserve">c) Resistência ao </w:t>
      </w:r>
      <w:proofErr w:type="spellStart"/>
      <w:r w:rsidRPr="008C6575">
        <w:rPr>
          <w:rFonts w:ascii="Arial" w:hAnsi="Arial" w:cs="Arial"/>
          <w:sz w:val="20"/>
          <w:szCs w:val="20"/>
        </w:rPr>
        <w:t>manchamento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: classe de </w:t>
      </w:r>
      <w:proofErr w:type="spellStart"/>
      <w:r w:rsidRPr="008C6575">
        <w:rPr>
          <w:rFonts w:ascii="Arial" w:hAnsi="Arial" w:cs="Arial"/>
          <w:sz w:val="20"/>
          <w:szCs w:val="20"/>
        </w:rPr>
        <w:t>limpabilidade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mínima </w:t>
      </w:r>
      <w:proofErr w:type="gramStart"/>
      <w:r w:rsidRPr="008C6575">
        <w:rPr>
          <w:rFonts w:ascii="Arial" w:hAnsi="Arial" w:cs="Arial"/>
          <w:sz w:val="20"/>
          <w:szCs w:val="20"/>
        </w:rPr>
        <w:t>3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(mancha removível com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produto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de limpeza forte);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>d) Resistência química mínima: classe B (média resistência química a produtos domésticos e de piscinas);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 xml:space="preserve">e) Resistente a </w:t>
      </w:r>
      <w:proofErr w:type="spellStart"/>
      <w:r w:rsidRPr="008C6575">
        <w:rPr>
          <w:rFonts w:ascii="Arial" w:hAnsi="Arial" w:cs="Arial"/>
          <w:sz w:val="20"/>
          <w:szCs w:val="20"/>
        </w:rPr>
        <w:t>gretagem</w:t>
      </w:r>
      <w:proofErr w:type="spellEnd"/>
      <w:r w:rsidRPr="008C6575">
        <w:rPr>
          <w:rFonts w:ascii="Arial" w:hAnsi="Arial" w:cs="Arial"/>
          <w:sz w:val="20"/>
          <w:szCs w:val="20"/>
        </w:rPr>
        <w:t>;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>f) Resistente ao escorregamento;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>g) Coeficiente de atrito: &gt;= 0,50 (classe de atrito II);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 xml:space="preserve">Remunera também o fornecimento de argamassa colante industrializada tipo AC-II, rejunte flexível para </w:t>
      </w:r>
      <w:proofErr w:type="spellStart"/>
      <w:r w:rsidRPr="008C6575">
        <w:rPr>
          <w:rFonts w:ascii="Arial" w:hAnsi="Arial" w:cs="Arial"/>
          <w:sz w:val="20"/>
          <w:szCs w:val="20"/>
        </w:rPr>
        <w:t>porcelanato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em diversas cores e a mão de obra necessária para a execução dos serviços de limpeza e preparo da superfície de assentamento, preparo e aplicação da argamassa colante industrializada, assentamento das peças conforme exigências das normas e recomendações dos fabricantes e o rejuntamento das peças com junta média até </w:t>
      </w:r>
      <w:proofErr w:type="gramStart"/>
      <w:r w:rsidRPr="008C6575">
        <w:rPr>
          <w:rFonts w:ascii="Arial" w:hAnsi="Arial" w:cs="Arial"/>
          <w:sz w:val="20"/>
          <w:szCs w:val="20"/>
        </w:rPr>
        <w:t>5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mm. Não remunera os serviços de regularização da superfície. Norma técnica: NBR 15463.</w:t>
      </w:r>
    </w:p>
    <w:p w:rsidR="00137C57" w:rsidRPr="008C6575" w:rsidRDefault="00137C57" w:rsidP="00137C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C6575">
        <w:rPr>
          <w:rFonts w:ascii="Arial" w:hAnsi="Arial" w:cs="Arial"/>
          <w:b/>
          <w:bCs/>
          <w:sz w:val="20"/>
          <w:szCs w:val="20"/>
        </w:rPr>
        <w:t xml:space="preserve">18.08.072 Rodapé em </w:t>
      </w:r>
      <w:proofErr w:type="spellStart"/>
      <w:r w:rsidRPr="008C6575">
        <w:rPr>
          <w:rFonts w:ascii="Arial" w:hAnsi="Arial" w:cs="Arial"/>
          <w:b/>
          <w:bCs/>
          <w:sz w:val="20"/>
          <w:szCs w:val="20"/>
        </w:rPr>
        <w:t>porcelanato</w:t>
      </w:r>
      <w:proofErr w:type="spellEnd"/>
      <w:r w:rsidRPr="008C6575">
        <w:rPr>
          <w:rFonts w:ascii="Arial" w:hAnsi="Arial" w:cs="Arial"/>
          <w:b/>
          <w:bCs/>
          <w:sz w:val="20"/>
          <w:szCs w:val="20"/>
        </w:rPr>
        <w:t xml:space="preserve"> esmaltado polido para área interna e ambiente com tráfego médio, grupo de absorção </w:t>
      </w:r>
      <w:proofErr w:type="spellStart"/>
      <w:proofErr w:type="gramStart"/>
      <w:r w:rsidRPr="008C6575">
        <w:rPr>
          <w:rFonts w:ascii="Arial" w:hAnsi="Arial" w:cs="Arial"/>
          <w:b/>
          <w:bCs/>
          <w:sz w:val="20"/>
          <w:szCs w:val="20"/>
        </w:rPr>
        <w:t>BIa</w:t>
      </w:r>
      <w:proofErr w:type="spellEnd"/>
      <w:proofErr w:type="gramEnd"/>
      <w:r w:rsidRPr="008C6575">
        <w:rPr>
          <w:rFonts w:ascii="Arial" w:hAnsi="Arial" w:cs="Arial"/>
          <w:b/>
          <w:bCs/>
          <w:sz w:val="20"/>
          <w:szCs w:val="20"/>
        </w:rPr>
        <w:t>, assentado com argamassa colante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gramStart"/>
      <w:r w:rsidRPr="008C6575">
        <w:rPr>
          <w:rFonts w:ascii="Arial" w:hAnsi="Arial" w:cs="Arial"/>
          <w:b/>
          <w:bCs/>
          <w:sz w:val="20"/>
          <w:szCs w:val="20"/>
        </w:rPr>
        <w:t>industrializada</w:t>
      </w:r>
      <w:proofErr w:type="gramEnd"/>
      <w:r w:rsidRPr="008C6575">
        <w:rPr>
          <w:rFonts w:ascii="Arial" w:hAnsi="Arial" w:cs="Arial"/>
          <w:b/>
          <w:bCs/>
          <w:sz w:val="20"/>
          <w:szCs w:val="20"/>
        </w:rPr>
        <w:t>, rejuntado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1</w:t>
      </w:r>
      <w:proofErr w:type="gramEnd"/>
      <w:r w:rsidRPr="008C6575">
        <w:rPr>
          <w:rFonts w:ascii="Arial" w:hAnsi="Arial" w:cs="Arial"/>
          <w:sz w:val="20"/>
          <w:szCs w:val="20"/>
        </w:rPr>
        <w:t>) Será medido por comprimento de rodapé assentado e rejuntado (m).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lastRenderedPageBreak/>
        <w:t>2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) O item remunera o fornecimento, assentamento e rejuntamento de rodapé em </w:t>
      </w:r>
      <w:proofErr w:type="spellStart"/>
      <w:r w:rsidRPr="008C6575">
        <w:rPr>
          <w:rFonts w:ascii="Arial" w:hAnsi="Arial" w:cs="Arial"/>
          <w:sz w:val="20"/>
          <w:szCs w:val="20"/>
        </w:rPr>
        <w:t>porcelanato</w:t>
      </w:r>
      <w:proofErr w:type="spellEnd"/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esmaltado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tipo polido, brilhante, indicado para áreas internas e ambientes com tráfego médio, com as seguintes características: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>a) Referência comercial: Eliane, Cecrisa-Portinari ou equivalente, cortada com ferramenta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adequada</w:t>
      </w:r>
      <w:proofErr w:type="gramEnd"/>
      <w:r w:rsidRPr="008C6575">
        <w:rPr>
          <w:rFonts w:ascii="Arial" w:hAnsi="Arial" w:cs="Arial"/>
          <w:sz w:val="20"/>
          <w:szCs w:val="20"/>
        </w:rPr>
        <w:t>;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 xml:space="preserve">b) Absorção de água: </w:t>
      </w:r>
      <w:proofErr w:type="spellStart"/>
      <w:r w:rsidRPr="008C6575">
        <w:rPr>
          <w:rFonts w:ascii="Arial" w:hAnsi="Arial" w:cs="Arial"/>
          <w:sz w:val="20"/>
          <w:szCs w:val="20"/>
        </w:rPr>
        <w:t>Abs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&lt;= 0,5%, grupo </w:t>
      </w:r>
      <w:proofErr w:type="spellStart"/>
      <w:proofErr w:type="gramStart"/>
      <w:r w:rsidRPr="008C6575">
        <w:rPr>
          <w:rFonts w:ascii="Arial" w:hAnsi="Arial" w:cs="Arial"/>
          <w:sz w:val="20"/>
          <w:szCs w:val="20"/>
        </w:rPr>
        <w:t>BIa</w:t>
      </w:r>
      <w:proofErr w:type="spellEnd"/>
      <w:proofErr w:type="gramEnd"/>
      <w:r w:rsidRPr="008C6575">
        <w:rPr>
          <w:rFonts w:ascii="Arial" w:hAnsi="Arial" w:cs="Arial"/>
          <w:sz w:val="20"/>
          <w:szCs w:val="20"/>
        </w:rPr>
        <w:t xml:space="preserve"> classificação </w:t>
      </w:r>
      <w:proofErr w:type="spellStart"/>
      <w:r w:rsidRPr="008C6575">
        <w:rPr>
          <w:rFonts w:ascii="Arial" w:hAnsi="Arial" w:cs="Arial"/>
          <w:sz w:val="20"/>
          <w:szCs w:val="20"/>
        </w:rPr>
        <w:t>Porcelanato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(baixa absorção,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resistência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mecânica alta);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 xml:space="preserve">c) Resistência ao </w:t>
      </w:r>
      <w:proofErr w:type="spellStart"/>
      <w:r w:rsidRPr="008C6575">
        <w:rPr>
          <w:rFonts w:ascii="Arial" w:hAnsi="Arial" w:cs="Arial"/>
          <w:sz w:val="20"/>
          <w:szCs w:val="20"/>
        </w:rPr>
        <w:t>manchamento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: classe de </w:t>
      </w:r>
      <w:proofErr w:type="spellStart"/>
      <w:r w:rsidRPr="008C6575">
        <w:rPr>
          <w:rFonts w:ascii="Arial" w:hAnsi="Arial" w:cs="Arial"/>
          <w:sz w:val="20"/>
          <w:szCs w:val="20"/>
        </w:rPr>
        <w:t>limpabilidade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mínima </w:t>
      </w:r>
      <w:proofErr w:type="gramStart"/>
      <w:r w:rsidRPr="008C6575">
        <w:rPr>
          <w:rFonts w:ascii="Arial" w:hAnsi="Arial" w:cs="Arial"/>
          <w:sz w:val="20"/>
          <w:szCs w:val="20"/>
        </w:rPr>
        <w:t>3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(mancha removível com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produto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de limpeza forte);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>d) Resistência química mínima: classe B (média resistência química a produtos domésticos e de piscinas);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 xml:space="preserve">e) Resistente a </w:t>
      </w:r>
      <w:proofErr w:type="spellStart"/>
      <w:r w:rsidRPr="008C6575">
        <w:rPr>
          <w:rFonts w:ascii="Arial" w:hAnsi="Arial" w:cs="Arial"/>
          <w:sz w:val="20"/>
          <w:szCs w:val="20"/>
        </w:rPr>
        <w:t>gretagem</w:t>
      </w:r>
      <w:proofErr w:type="spellEnd"/>
      <w:r w:rsidRPr="008C6575">
        <w:rPr>
          <w:rFonts w:ascii="Arial" w:hAnsi="Arial" w:cs="Arial"/>
          <w:sz w:val="20"/>
          <w:szCs w:val="20"/>
        </w:rPr>
        <w:t>;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>f) Antiderrapante: não (superfície polida);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>g) Coeficiente de atrito: &lt; 0,40 (classe de atrito I);</w:t>
      </w:r>
    </w:p>
    <w:p w:rsidR="00315CB9" w:rsidRPr="008C6575" w:rsidRDefault="00315CB9" w:rsidP="00315C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 xml:space="preserve">Remunera também o fornecimento de argamassa colante industrializada tipo AC-II, rejunte flexível para </w:t>
      </w:r>
      <w:proofErr w:type="spellStart"/>
      <w:r w:rsidRPr="008C6575">
        <w:rPr>
          <w:rFonts w:ascii="Arial" w:hAnsi="Arial" w:cs="Arial"/>
          <w:sz w:val="20"/>
          <w:szCs w:val="20"/>
        </w:rPr>
        <w:t>porcelanato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em diversas cores e a mão de obra necessária para a execução dos serviços de limpeza e preparo da superfície de assentamento, preparo e aplicação da argamassa colante industrializada, assentamento das peças conforme exigências das normas e recomendações dos fabricantes e o rejuntamento das peças com junta média até </w:t>
      </w:r>
      <w:proofErr w:type="gramStart"/>
      <w:r w:rsidRPr="008C6575">
        <w:rPr>
          <w:rFonts w:ascii="Arial" w:hAnsi="Arial" w:cs="Arial"/>
          <w:sz w:val="20"/>
          <w:szCs w:val="20"/>
        </w:rPr>
        <w:t>5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mm. Não remunera os serviços de regularização da superfície. Norma técnica: NBR 15463.</w:t>
      </w:r>
    </w:p>
    <w:p w:rsidR="00EE4E74" w:rsidRPr="008C6575" w:rsidRDefault="00EE4E74" w:rsidP="00137C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C6575">
        <w:rPr>
          <w:rFonts w:ascii="Arial" w:hAnsi="Arial" w:cs="Arial"/>
          <w:b/>
          <w:bCs/>
          <w:sz w:val="20"/>
          <w:szCs w:val="20"/>
        </w:rPr>
        <w:t>32.16.050 Impermeabilização em membrana à base de polímeros acrílicos, na cor branca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1</w:t>
      </w:r>
      <w:proofErr w:type="gramEnd"/>
      <w:r w:rsidRPr="008C6575">
        <w:rPr>
          <w:rFonts w:ascii="Arial" w:hAnsi="Arial" w:cs="Arial"/>
          <w:sz w:val="20"/>
          <w:szCs w:val="20"/>
        </w:rPr>
        <w:t>) Será medido por área de superfície com impermeabilização executada (</w:t>
      </w:r>
      <w:proofErr w:type="spellStart"/>
      <w:r w:rsidRPr="008C6575">
        <w:rPr>
          <w:rFonts w:ascii="Arial" w:hAnsi="Arial" w:cs="Arial"/>
          <w:sz w:val="20"/>
          <w:szCs w:val="20"/>
        </w:rPr>
        <w:t>m²</w:t>
      </w:r>
      <w:proofErr w:type="spellEnd"/>
      <w:r w:rsidRPr="008C6575">
        <w:rPr>
          <w:rFonts w:ascii="Arial" w:hAnsi="Arial" w:cs="Arial"/>
          <w:sz w:val="20"/>
          <w:szCs w:val="20"/>
        </w:rPr>
        <w:t>).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2</w:t>
      </w:r>
      <w:proofErr w:type="gramEnd"/>
      <w:r w:rsidRPr="008C6575">
        <w:rPr>
          <w:rFonts w:ascii="Arial" w:hAnsi="Arial" w:cs="Arial"/>
          <w:sz w:val="20"/>
          <w:szCs w:val="20"/>
        </w:rPr>
        <w:t>) O item remunera o fornecimento de impermeabilização flexível para moldagem no local, à base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de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polímeros acrílicos, compreendendo: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>a) Membrana à base de polímeros acrílicos dispersos em meio aquoso, com as características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técnicas</w:t>
      </w:r>
      <w:proofErr w:type="gramEnd"/>
      <w:r w:rsidRPr="008C6575">
        <w:rPr>
          <w:rFonts w:ascii="Arial" w:hAnsi="Arial" w:cs="Arial"/>
          <w:sz w:val="20"/>
          <w:szCs w:val="20"/>
        </w:rPr>
        <w:t>: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 xml:space="preserve">- Coloração branca, resistente às intempéries, a </w:t>
      </w:r>
      <w:proofErr w:type="spellStart"/>
      <w:r w:rsidRPr="008C6575">
        <w:rPr>
          <w:rFonts w:ascii="Arial" w:hAnsi="Arial" w:cs="Arial"/>
          <w:sz w:val="20"/>
          <w:szCs w:val="20"/>
        </w:rPr>
        <w:t>ozona</w:t>
      </w:r>
      <w:proofErr w:type="spellEnd"/>
      <w:r w:rsidRPr="008C6575">
        <w:rPr>
          <w:rFonts w:ascii="Arial" w:hAnsi="Arial" w:cs="Arial"/>
          <w:sz w:val="20"/>
          <w:szCs w:val="20"/>
        </w:rPr>
        <w:t>, aos raios ultravioletas e a névoa salina; não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necessita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proteção mecânica; referência comercial </w:t>
      </w:r>
      <w:proofErr w:type="spellStart"/>
      <w:r w:rsidRPr="008C6575">
        <w:rPr>
          <w:rFonts w:ascii="Arial" w:hAnsi="Arial" w:cs="Arial"/>
          <w:sz w:val="20"/>
          <w:szCs w:val="20"/>
        </w:rPr>
        <w:t>Denvercril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Super da Dever Global, </w:t>
      </w:r>
      <w:proofErr w:type="spellStart"/>
      <w:r w:rsidRPr="008C6575">
        <w:rPr>
          <w:rFonts w:ascii="Arial" w:hAnsi="Arial" w:cs="Arial"/>
          <w:sz w:val="20"/>
          <w:szCs w:val="20"/>
        </w:rPr>
        <w:t>Hey´dicryl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da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8C6575">
        <w:rPr>
          <w:rFonts w:ascii="Arial" w:hAnsi="Arial" w:cs="Arial"/>
          <w:sz w:val="20"/>
          <w:szCs w:val="20"/>
        </w:rPr>
        <w:t>Viapol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C6575">
        <w:rPr>
          <w:rFonts w:ascii="Arial" w:hAnsi="Arial" w:cs="Arial"/>
          <w:sz w:val="20"/>
          <w:szCs w:val="20"/>
        </w:rPr>
        <w:t>Vedapren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Branco da Otto </w:t>
      </w:r>
      <w:proofErr w:type="spellStart"/>
      <w:r w:rsidRPr="008C6575">
        <w:rPr>
          <w:rFonts w:ascii="Arial" w:hAnsi="Arial" w:cs="Arial"/>
          <w:sz w:val="20"/>
          <w:szCs w:val="20"/>
        </w:rPr>
        <w:t>Baumgart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C6575">
        <w:rPr>
          <w:rFonts w:ascii="Arial" w:hAnsi="Arial" w:cs="Arial"/>
          <w:sz w:val="20"/>
          <w:szCs w:val="20"/>
        </w:rPr>
        <w:t>Igolflex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Branco da </w:t>
      </w:r>
      <w:proofErr w:type="spellStart"/>
      <w:r w:rsidRPr="008C6575">
        <w:rPr>
          <w:rFonts w:ascii="Arial" w:hAnsi="Arial" w:cs="Arial"/>
          <w:sz w:val="20"/>
          <w:szCs w:val="20"/>
        </w:rPr>
        <w:t>Sika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ou equivalente desde que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atenda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às exigências mínimas da norma NBR 13321 e às características técnicas acima descritas;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>Remunera também materiais acessórios e a mão de obra necessária para a execução dos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serviços</w:t>
      </w:r>
      <w:proofErr w:type="gramEnd"/>
      <w:r w:rsidRPr="008C6575">
        <w:rPr>
          <w:rFonts w:ascii="Arial" w:hAnsi="Arial" w:cs="Arial"/>
          <w:sz w:val="20"/>
          <w:szCs w:val="20"/>
        </w:rPr>
        <w:t>, inclusive limpeza da superfície. Não remunera o fornecimento e instalação de reforço</w:t>
      </w:r>
    </w:p>
    <w:p w:rsidR="00315CB9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têxtil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sintético, quando necessário.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C6575">
        <w:rPr>
          <w:rFonts w:ascii="Arial" w:hAnsi="Arial" w:cs="Arial"/>
          <w:b/>
          <w:bCs/>
          <w:sz w:val="20"/>
          <w:szCs w:val="20"/>
        </w:rPr>
        <w:t xml:space="preserve">33.10.030 Tinta acrílica </w:t>
      </w:r>
      <w:proofErr w:type="spellStart"/>
      <w:r w:rsidRPr="008C6575">
        <w:rPr>
          <w:rFonts w:ascii="Arial" w:hAnsi="Arial" w:cs="Arial"/>
          <w:b/>
          <w:bCs/>
          <w:sz w:val="20"/>
          <w:szCs w:val="20"/>
        </w:rPr>
        <w:t>antimofo</w:t>
      </w:r>
      <w:proofErr w:type="spellEnd"/>
      <w:r w:rsidRPr="008C6575">
        <w:rPr>
          <w:rFonts w:ascii="Arial" w:hAnsi="Arial" w:cs="Arial"/>
          <w:b/>
          <w:bCs/>
          <w:sz w:val="20"/>
          <w:szCs w:val="20"/>
        </w:rPr>
        <w:t xml:space="preserve"> em massa, inclusive preparo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1</w:t>
      </w:r>
      <w:proofErr w:type="gramEnd"/>
      <w:r w:rsidRPr="008C6575">
        <w:rPr>
          <w:rFonts w:ascii="Arial" w:hAnsi="Arial" w:cs="Arial"/>
          <w:sz w:val="20"/>
          <w:szCs w:val="20"/>
        </w:rPr>
        <w:t>) Será medido pela área de superfície preparada e pintada, não se descontando vãos de até 2,00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8C6575">
        <w:rPr>
          <w:rFonts w:ascii="Arial" w:hAnsi="Arial" w:cs="Arial"/>
          <w:sz w:val="20"/>
          <w:szCs w:val="20"/>
        </w:rPr>
        <w:t>m²</w:t>
      </w:r>
      <w:proofErr w:type="spellEnd"/>
      <w:proofErr w:type="gramEnd"/>
      <w:r w:rsidRPr="008C6575">
        <w:rPr>
          <w:rFonts w:ascii="Arial" w:hAnsi="Arial" w:cs="Arial"/>
          <w:sz w:val="20"/>
          <w:szCs w:val="20"/>
        </w:rPr>
        <w:t xml:space="preserve"> e não se considerando </w:t>
      </w:r>
      <w:proofErr w:type="spellStart"/>
      <w:r w:rsidRPr="008C6575">
        <w:rPr>
          <w:rFonts w:ascii="Arial" w:hAnsi="Arial" w:cs="Arial"/>
          <w:sz w:val="20"/>
          <w:szCs w:val="20"/>
        </w:rPr>
        <w:t>espaletas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, filetes ou molduras. Os vãos acima de 2,00 </w:t>
      </w:r>
      <w:proofErr w:type="spellStart"/>
      <w:r w:rsidRPr="008C6575">
        <w:rPr>
          <w:rFonts w:ascii="Arial" w:hAnsi="Arial" w:cs="Arial"/>
          <w:sz w:val="20"/>
          <w:szCs w:val="20"/>
        </w:rPr>
        <w:t>m²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deverão ser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deduzidos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na totalidade e as </w:t>
      </w:r>
      <w:proofErr w:type="spellStart"/>
      <w:r w:rsidRPr="008C6575">
        <w:rPr>
          <w:rFonts w:ascii="Arial" w:hAnsi="Arial" w:cs="Arial"/>
          <w:sz w:val="20"/>
          <w:szCs w:val="20"/>
        </w:rPr>
        <w:t>espaletas</w:t>
      </w:r>
      <w:proofErr w:type="spellEnd"/>
      <w:r w:rsidRPr="008C6575">
        <w:rPr>
          <w:rFonts w:ascii="Arial" w:hAnsi="Arial" w:cs="Arial"/>
          <w:sz w:val="20"/>
          <w:szCs w:val="20"/>
        </w:rPr>
        <w:t>, filetes ou molduras desenvolvidas (</w:t>
      </w:r>
      <w:proofErr w:type="spellStart"/>
      <w:r w:rsidRPr="008C6575">
        <w:rPr>
          <w:rFonts w:ascii="Arial" w:hAnsi="Arial" w:cs="Arial"/>
          <w:sz w:val="20"/>
          <w:szCs w:val="20"/>
        </w:rPr>
        <w:t>m²</w:t>
      </w:r>
      <w:proofErr w:type="spellEnd"/>
      <w:r w:rsidRPr="008C6575">
        <w:rPr>
          <w:rFonts w:ascii="Arial" w:hAnsi="Arial" w:cs="Arial"/>
          <w:sz w:val="20"/>
          <w:szCs w:val="20"/>
        </w:rPr>
        <w:t>).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2</w:t>
      </w:r>
      <w:proofErr w:type="gramEnd"/>
      <w:r w:rsidRPr="008C6575">
        <w:rPr>
          <w:rFonts w:ascii="Arial" w:hAnsi="Arial" w:cs="Arial"/>
          <w:sz w:val="20"/>
          <w:szCs w:val="20"/>
        </w:rPr>
        <w:t>) O item remunera o fornecimento de selador de tinta para pintura acrílica, tinta plástica à base de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resina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acrílica acetinado fosco, aditivada com </w:t>
      </w:r>
      <w:proofErr w:type="spellStart"/>
      <w:r w:rsidRPr="008C6575">
        <w:rPr>
          <w:rFonts w:ascii="Arial" w:hAnsi="Arial" w:cs="Arial"/>
          <w:sz w:val="20"/>
          <w:szCs w:val="20"/>
        </w:rPr>
        <w:t>Bacterkill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(agente fungicida), solúvel em água,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acabamento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6575">
        <w:rPr>
          <w:rFonts w:ascii="Arial" w:hAnsi="Arial" w:cs="Arial"/>
          <w:sz w:val="20"/>
          <w:szCs w:val="20"/>
        </w:rPr>
        <w:t>semibrilho</w:t>
      </w:r>
      <w:proofErr w:type="spellEnd"/>
      <w:r w:rsidRPr="008C6575">
        <w:rPr>
          <w:rFonts w:ascii="Arial" w:hAnsi="Arial" w:cs="Arial"/>
          <w:sz w:val="20"/>
          <w:szCs w:val="20"/>
        </w:rPr>
        <w:t>, específica para prevenção da proliferação de fungos e mofo, com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resistência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à umidade em ambientes frios ou quentes, tais como saunas, lavanderias, câmaras frias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e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locais com vapores ou condensação de água; referência comercial </w:t>
      </w:r>
      <w:proofErr w:type="spellStart"/>
      <w:r w:rsidRPr="008C6575">
        <w:rPr>
          <w:rFonts w:ascii="Arial" w:hAnsi="Arial" w:cs="Arial"/>
          <w:sz w:val="20"/>
          <w:szCs w:val="20"/>
        </w:rPr>
        <w:t>Metalatex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6575">
        <w:rPr>
          <w:rFonts w:ascii="Arial" w:hAnsi="Arial" w:cs="Arial"/>
          <w:sz w:val="20"/>
          <w:szCs w:val="20"/>
        </w:rPr>
        <w:t>Antimofo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fabricação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8C6575">
        <w:rPr>
          <w:rFonts w:ascii="Arial" w:hAnsi="Arial" w:cs="Arial"/>
          <w:sz w:val="20"/>
          <w:szCs w:val="20"/>
        </w:rPr>
        <w:t>Sherwin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Williams ou equivalente. Remunera também materiais acessórios e mão de obra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necessária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para a execução dos serviços de: limpeza da superfície, </w:t>
      </w:r>
      <w:proofErr w:type="spellStart"/>
      <w:r w:rsidRPr="008C6575">
        <w:rPr>
          <w:rFonts w:ascii="Arial" w:hAnsi="Arial" w:cs="Arial"/>
          <w:sz w:val="20"/>
          <w:szCs w:val="20"/>
        </w:rPr>
        <w:t>lixamento</w:t>
      </w:r>
      <w:proofErr w:type="spellEnd"/>
      <w:r w:rsidRPr="008C6575">
        <w:rPr>
          <w:rFonts w:ascii="Arial" w:hAnsi="Arial" w:cs="Arial"/>
          <w:sz w:val="20"/>
          <w:szCs w:val="20"/>
        </w:rPr>
        <w:t>, remoção do pó e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aplicação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do selador, conforme recomendações do fabricante; aplicação da tinta, em 2 ou 3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demãos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sobre superfície revestida com massa, conforme especificações do fabricante e as normas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>NBR 11702 e NBR 15079.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C6575">
        <w:rPr>
          <w:rFonts w:ascii="Arial" w:hAnsi="Arial" w:cs="Arial"/>
          <w:b/>
          <w:bCs/>
          <w:sz w:val="20"/>
          <w:szCs w:val="20"/>
        </w:rPr>
        <w:t>33.06.020 Acrílico para quadras e pisos cimentados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1</w:t>
      </w:r>
      <w:proofErr w:type="gramEnd"/>
      <w:r w:rsidRPr="008C6575">
        <w:rPr>
          <w:rFonts w:ascii="Arial" w:hAnsi="Arial" w:cs="Arial"/>
          <w:sz w:val="20"/>
          <w:szCs w:val="20"/>
        </w:rPr>
        <w:t>) Será medido pela área de superfície pintada, deduzindo-se toda e qualquer interferência (</w:t>
      </w:r>
      <w:proofErr w:type="spellStart"/>
      <w:r w:rsidRPr="008C6575">
        <w:rPr>
          <w:rFonts w:ascii="Arial" w:hAnsi="Arial" w:cs="Arial"/>
          <w:sz w:val="20"/>
          <w:szCs w:val="20"/>
        </w:rPr>
        <w:t>m²</w:t>
      </w:r>
      <w:proofErr w:type="spellEnd"/>
      <w:r w:rsidRPr="008C6575">
        <w:rPr>
          <w:rFonts w:ascii="Arial" w:hAnsi="Arial" w:cs="Arial"/>
          <w:sz w:val="20"/>
          <w:szCs w:val="20"/>
        </w:rPr>
        <w:t>).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2</w:t>
      </w:r>
      <w:proofErr w:type="gramEnd"/>
      <w:r w:rsidRPr="008C6575">
        <w:rPr>
          <w:rFonts w:ascii="Arial" w:hAnsi="Arial" w:cs="Arial"/>
          <w:sz w:val="20"/>
          <w:szCs w:val="20"/>
        </w:rPr>
        <w:t>) O item remunera o fornecimento de tinta acrílica, a base de resinas acrílicas, com alta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resistência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à abrasão, acabamento </w:t>
      </w:r>
      <w:proofErr w:type="spellStart"/>
      <w:r w:rsidRPr="008C6575">
        <w:rPr>
          <w:rFonts w:ascii="Arial" w:hAnsi="Arial" w:cs="Arial"/>
          <w:sz w:val="20"/>
          <w:szCs w:val="20"/>
        </w:rPr>
        <w:t>microtexturizado</w:t>
      </w:r>
      <w:proofErr w:type="spellEnd"/>
      <w:r w:rsidRPr="008C6575">
        <w:rPr>
          <w:rFonts w:ascii="Arial" w:hAnsi="Arial" w:cs="Arial"/>
          <w:sz w:val="20"/>
          <w:szCs w:val="20"/>
        </w:rPr>
        <w:t>, lavável, resistente a água, alcalinidade,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maresia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e intempéries; conforme norma NBR 11702. Referência Suvinil Poliesportiva da </w:t>
      </w:r>
      <w:proofErr w:type="spellStart"/>
      <w:r w:rsidRPr="008C6575">
        <w:rPr>
          <w:rFonts w:ascii="Arial" w:hAnsi="Arial" w:cs="Arial"/>
          <w:sz w:val="20"/>
          <w:szCs w:val="20"/>
        </w:rPr>
        <w:t>Glasurit</w:t>
      </w:r>
      <w:proofErr w:type="spellEnd"/>
      <w:r w:rsidRPr="008C6575">
        <w:rPr>
          <w:rFonts w:ascii="Arial" w:hAnsi="Arial" w:cs="Arial"/>
          <w:sz w:val="20"/>
          <w:szCs w:val="20"/>
        </w:rPr>
        <w:t>,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ou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6575">
        <w:rPr>
          <w:rFonts w:ascii="Arial" w:hAnsi="Arial" w:cs="Arial"/>
          <w:sz w:val="20"/>
          <w:szCs w:val="20"/>
        </w:rPr>
        <w:t>Metalatex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Acrílico com Quartzo da </w:t>
      </w:r>
      <w:proofErr w:type="spellStart"/>
      <w:r w:rsidRPr="008C6575">
        <w:rPr>
          <w:rFonts w:ascii="Arial" w:hAnsi="Arial" w:cs="Arial"/>
          <w:sz w:val="20"/>
          <w:szCs w:val="20"/>
        </w:rPr>
        <w:t>Sherwin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Williams, ou </w:t>
      </w:r>
      <w:proofErr w:type="spellStart"/>
      <w:r w:rsidRPr="008C6575">
        <w:rPr>
          <w:rFonts w:ascii="Arial" w:hAnsi="Arial" w:cs="Arial"/>
          <w:sz w:val="20"/>
          <w:szCs w:val="20"/>
        </w:rPr>
        <w:t>Coralpiso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da Coral, ou </w:t>
      </w:r>
      <w:proofErr w:type="spellStart"/>
      <w:r w:rsidRPr="008C6575">
        <w:rPr>
          <w:rFonts w:ascii="Arial" w:hAnsi="Arial" w:cs="Arial"/>
          <w:sz w:val="20"/>
          <w:szCs w:val="20"/>
        </w:rPr>
        <w:t>Novacor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Piso da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6575">
        <w:rPr>
          <w:rFonts w:ascii="Arial" w:hAnsi="Arial" w:cs="Arial"/>
          <w:sz w:val="20"/>
          <w:szCs w:val="20"/>
        </w:rPr>
        <w:t xml:space="preserve">Globo, ou </w:t>
      </w:r>
      <w:proofErr w:type="spellStart"/>
      <w:r w:rsidRPr="008C6575">
        <w:rPr>
          <w:rFonts w:ascii="Arial" w:hAnsi="Arial" w:cs="Arial"/>
          <w:sz w:val="20"/>
          <w:szCs w:val="20"/>
        </w:rPr>
        <w:t>Quadracryl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Pisos e Paredes da Renner, ou </w:t>
      </w:r>
      <w:proofErr w:type="spellStart"/>
      <w:r w:rsidRPr="008C6575">
        <w:rPr>
          <w:rFonts w:ascii="Arial" w:hAnsi="Arial" w:cs="Arial"/>
          <w:sz w:val="20"/>
          <w:szCs w:val="20"/>
        </w:rPr>
        <w:t>Eucacril</w:t>
      </w:r>
      <w:proofErr w:type="spellEnd"/>
      <w:r w:rsidRPr="008C6575">
        <w:rPr>
          <w:rFonts w:ascii="Arial" w:hAnsi="Arial" w:cs="Arial"/>
          <w:sz w:val="20"/>
          <w:szCs w:val="20"/>
        </w:rPr>
        <w:t xml:space="preserve"> para pisos da Eucatex, ou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equivalente</w:t>
      </w:r>
      <w:proofErr w:type="gramEnd"/>
      <w:r w:rsidRPr="008C6575">
        <w:rPr>
          <w:rFonts w:ascii="Arial" w:hAnsi="Arial" w:cs="Arial"/>
          <w:sz w:val="20"/>
          <w:szCs w:val="20"/>
        </w:rPr>
        <w:t>; materiais acessórios e a mão de obra necessária para a execução dos serviços de: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limpeza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da superfície, conforme recomendações do fabricante; aplicação da tinta acrílica, uma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demão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como </w:t>
      </w:r>
      <w:proofErr w:type="spellStart"/>
      <w:r w:rsidRPr="008C6575">
        <w:rPr>
          <w:rFonts w:ascii="Arial" w:hAnsi="Arial" w:cs="Arial"/>
          <w:sz w:val="20"/>
          <w:szCs w:val="20"/>
        </w:rPr>
        <w:t>primer</w:t>
      </w:r>
      <w:proofErr w:type="spellEnd"/>
      <w:r w:rsidRPr="008C6575">
        <w:rPr>
          <w:rFonts w:ascii="Arial" w:hAnsi="Arial" w:cs="Arial"/>
          <w:sz w:val="20"/>
          <w:szCs w:val="20"/>
        </w:rPr>
        <w:t>, com a tinta diluída em 40% de água, duas demãos de acabamento, com a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tinta</w:t>
      </w:r>
      <w:proofErr w:type="gramEnd"/>
      <w:r w:rsidRPr="008C6575">
        <w:rPr>
          <w:rFonts w:ascii="Arial" w:hAnsi="Arial" w:cs="Arial"/>
          <w:sz w:val="20"/>
          <w:szCs w:val="20"/>
        </w:rPr>
        <w:t xml:space="preserve"> diluída em 20% de água, conforme especificações do fabricante; não remunera o preparo de</w:t>
      </w:r>
    </w:p>
    <w:p w:rsidR="008C6575" w:rsidRP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C6575">
        <w:rPr>
          <w:rFonts w:ascii="Arial" w:hAnsi="Arial" w:cs="Arial"/>
          <w:sz w:val="20"/>
          <w:szCs w:val="20"/>
        </w:rPr>
        <w:t>base</w:t>
      </w:r>
      <w:proofErr w:type="gramEnd"/>
      <w:r w:rsidRPr="008C6575">
        <w:rPr>
          <w:rFonts w:ascii="Arial" w:hAnsi="Arial" w:cs="Arial"/>
          <w:sz w:val="20"/>
          <w:szCs w:val="20"/>
        </w:rPr>
        <w:t>, quando necessário.</w:t>
      </w:r>
    </w:p>
    <w:p w:rsidR="008C6575" w:rsidRDefault="008C6575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F1AC5" w:rsidRDefault="000F1AC5" w:rsidP="008A6CCB">
      <w:pPr>
        <w:autoSpaceDE w:val="0"/>
        <w:autoSpaceDN w:val="0"/>
        <w:adjustRightInd w:val="0"/>
        <w:spacing w:after="0" w:line="240" w:lineRule="auto"/>
      </w:pPr>
    </w:p>
    <w:p w:rsidR="008C6575" w:rsidRDefault="008C6575" w:rsidP="008A6CCB">
      <w:pPr>
        <w:autoSpaceDE w:val="0"/>
        <w:autoSpaceDN w:val="0"/>
        <w:adjustRightInd w:val="0"/>
        <w:spacing w:after="0" w:line="240" w:lineRule="auto"/>
      </w:pPr>
    </w:p>
    <w:p w:rsidR="008C6575" w:rsidRDefault="008C6575" w:rsidP="008A6CCB">
      <w:pPr>
        <w:autoSpaceDE w:val="0"/>
        <w:autoSpaceDN w:val="0"/>
        <w:adjustRightInd w:val="0"/>
        <w:spacing w:after="0" w:line="240" w:lineRule="auto"/>
      </w:pPr>
    </w:p>
    <w:p w:rsidR="008C6575" w:rsidRDefault="008C6575" w:rsidP="008A6CCB">
      <w:pPr>
        <w:autoSpaceDE w:val="0"/>
        <w:autoSpaceDN w:val="0"/>
        <w:adjustRightInd w:val="0"/>
        <w:spacing w:after="0" w:line="240" w:lineRule="auto"/>
      </w:pPr>
    </w:p>
    <w:p w:rsidR="008C6575" w:rsidRDefault="008C6575" w:rsidP="008A6CCB">
      <w:pPr>
        <w:autoSpaceDE w:val="0"/>
        <w:autoSpaceDN w:val="0"/>
        <w:adjustRightInd w:val="0"/>
        <w:spacing w:after="0" w:line="240" w:lineRule="auto"/>
      </w:pPr>
    </w:p>
    <w:p w:rsidR="00517B4F" w:rsidRDefault="00BA4607" w:rsidP="008C65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</w:t>
      </w:r>
    </w:p>
    <w:tbl>
      <w:tblPr>
        <w:tblW w:w="34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34"/>
      </w:tblGrid>
      <w:tr w:rsidR="00517B4F" w:rsidRPr="00517B4F" w:rsidTr="00517B4F">
        <w:trPr>
          <w:trHeight w:val="2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7B4F" w:rsidRPr="00517B4F" w:rsidRDefault="00261CDA" w:rsidP="008C6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Patrique S. C. Brandt</w:t>
            </w:r>
          </w:p>
        </w:tc>
      </w:tr>
      <w:tr w:rsidR="00517B4F" w:rsidRPr="00517B4F" w:rsidTr="00517B4F">
        <w:trPr>
          <w:trHeight w:val="2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7B4F" w:rsidRPr="00517B4F" w:rsidRDefault="00517B4F" w:rsidP="008C6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17B4F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Engenheiro Civil</w:t>
            </w:r>
          </w:p>
        </w:tc>
      </w:tr>
      <w:tr w:rsidR="00517B4F" w:rsidRPr="00517B4F" w:rsidTr="00BA4607">
        <w:trPr>
          <w:trHeight w:val="255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17B4F" w:rsidRDefault="00517B4F" w:rsidP="008C6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17B4F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CREA n.º </w:t>
            </w:r>
            <w:r w:rsidR="00261CD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5063550174</w:t>
            </w:r>
          </w:p>
          <w:p w:rsidR="00BA4607" w:rsidRDefault="00BA4607" w:rsidP="008C6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BA4607" w:rsidRDefault="00BA4607" w:rsidP="008C6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BA4607" w:rsidRDefault="00BA4607" w:rsidP="008C6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8C6575" w:rsidRDefault="008C6575" w:rsidP="008C6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BA4607" w:rsidRDefault="00BA4607" w:rsidP="008C6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BA4607" w:rsidRDefault="00BA4607" w:rsidP="008C6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:rsidR="00BA4607" w:rsidRDefault="00BA4607" w:rsidP="008C6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softHyphen/>
              <w:t>___________________________________</w:t>
            </w:r>
          </w:p>
          <w:p w:rsidR="00BA4607" w:rsidRDefault="00BA4607" w:rsidP="008C6575">
            <w:pPr>
              <w:spacing w:after="0" w:line="240" w:lineRule="auto"/>
              <w:rPr>
                <w:lang w:eastAsia="pt-BR"/>
              </w:rPr>
            </w:pPr>
            <w:r w:rsidRPr="00BA4607">
              <w:rPr>
                <w:lang w:eastAsia="pt-BR"/>
              </w:rPr>
              <w:t xml:space="preserve">Luciano Marin </w:t>
            </w:r>
            <w:proofErr w:type="spellStart"/>
            <w:r w:rsidRPr="00BA4607">
              <w:rPr>
                <w:lang w:eastAsia="pt-BR"/>
              </w:rPr>
              <w:t>Spexoto</w:t>
            </w:r>
            <w:proofErr w:type="spellEnd"/>
          </w:p>
          <w:p w:rsidR="00BA4607" w:rsidRDefault="00BA4607" w:rsidP="008C6575">
            <w:pPr>
              <w:spacing w:after="0" w:line="240" w:lineRule="auto"/>
              <w:rPr>
                <w:lang w:eastAsia="pt-BR"/>
              </w:rPr>
            </w:pPr>
            <w:r w:rsidRPr="00BA4607">
              <w:rPr>
                <w:lang w:eastAsia="pt-BR"/>
              </w:rPr>
              <w:t xml:space="preserve">Secretário de </w:t>
            </w:r>
            <w:proofErr w:type="spellStart"/>
            <w:r w:rsidRPr="00BA4607">
              <w:rPr>
                <w:lang w:eastAsia="pt-BR"/>
              </w:rPr>
              <w:t>Infraestrutura</w:t>
            </w:r>
            <w:proofErr w:type="spellEnd"/>
            <w:r w:rsidRPr="00BA4607">
              <w:rPr>
                <w:lang w:eastAsia="pt-BR"/>
              </w:rPr>
              <w:t xml:space="preserve"> e Projetos</w:t>
            </w:r>
          </w:p>
          <w:p w:rsidR="00BA4607" w:rsidRPr="00517B4F" w:rsidRDefault="00BA4607" w:rsidP="008C6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BA4607">
              <w:rPr>
                <w:lang w:eastAsia="pt-BR"/>
              </w:rPr>
              <w:t>Crea</w:t>
            </w:r>
            <w:proofErr w:type="spellEnd"/>
            <w:proofErr w:type="gramEnd"/>
            <w:r w:rsidRPr="00BA4607">
              <w:rPr>
                <w:lang w:eastAsia="pt-BR"/>
              </w:rPr>
              <w:t xml:space="preserve"> nº 5060715050-SP</w:t>
            </w:r>
          </w:p>
        </w:tc>
      </w:tr>
      <w:tr w:rsidR="00517B4F" w:rsidRPr="00517B4F" w:rsidTr="00517B4F">
        <w:trPr>
          <w:trHeight w:val="2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4607" w:rsidRPr="00517B4F" w:rsidRDefault="00BA4607" w:rsidP="008C6575">
            <w:pPr>
              <w:pStyle w:val="SemEspaamento"/>
              <w:rPr>
                <w:lang w:eastAsia="pt-BR"/>
              </w:rPr>
            </w:pPr>
          </w:p>
        </w:tc>
      </w:tr>
      <w:tr w:rsidR="00C14D3F" w:rsidRPr="00517B4F" w:rsidTr="00517B4F">
        <w:trPr>
          <w:trHeight w:val="2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D3F" w:rsidRDefault="00C14D3F" w:rsidP="008C6575">
            <w:pPr>
              <w:pStyle w:val="SemEspaamento"/>
              <w:rPr>
                <w:lang w:eastAsia="pt-BR"/>
              </w:rPr>
            </w:pPr>
          </w:p>
          <w:p w:rsidR="00C14D3F" w:rsidRDefault="00C14D3F" w:rsidP="008C6575">
            <w:pPr>
              <w:pStyle w:val="SemEspaamento"/>
              <w:rPr>
                <w:lang w:eastAsia="pt-BR"/>
              </w:rPr>
            </w:pPr>
          </w:p>
          <w:p w:rsidR="00C14D3F" w:rsidRDefault="00C14D3F" w:rsidP="008C6575">
            <w:pPr>
              <w:pStyle w:val="SemEspaamento"/>
              <w:rPr>
                <w:lang w:eastAsia="pt-BR"/>
              </w:rPr>
            </w:pPr>
          </w:p>
          <w:p w:rsidR="00C14D3F" w:rsidRPr="00517B4F" w:rsidRDefault="00C14D3F" w:rsidP="008C6575">
            <w:pPr>
              <w:pStyle w:val="SemEspaamento"/>
              <w:rPr>
                <w:lang w:eastAsia="pt-BR"/>
              </w:rPr>
            </w:pPr>
          </w:p>
        </w:tc>
      </w:tr>
      <w:tr w:rsidR="00517B4F" w:rsidRPr="00517B4F" w:rsidTr="00517B4F">
        <w:trPr>
          <w:trHeight w:val="2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7B4F" w:rsidRPr="00517B4F" w:rsidRDefault="00517B4F" w:rsidP="008C6575">
            <w:pPr>
              <w:pStyle w:val="SemEspaamento"/>
              <w:rPr>
                <w:lang w:eastAsia="pt-BR"/>
              </w:rPr>
            </w:pPr>
          </w:p>
        </w:tc>
      </w:tr>
      <w:tr w:rsidR="00C14D3F" w:rsidRPr="00517B4F" w:rsidTr="00517B4F">
        <w:trPr>
          <w:trHeight w:val="2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D3F" w:rsidRDefault="00C14D3F" w:rsidP="008C6575">
            <w:pPr>
              <w:pStyle w:val="SemEspaamento"/>
              <w:rPr>
                <w:lang w:eastAsia="pt-BR"/>
              </w:rPr>
            </w:pPr>
          </w:p>
          <w:p w:rsidR="00C14D3F" w:rsidRPr="00517B4F" w:rsidRDefault="00C14D3F" w:rsidP="008C6575">
            <w:pPr>
              <w:pStyle w:val="SemEspaamento"/>
              <w:rPr>
                <w:lang w:eastAsia="pt-BR"/>
              </w:rPr>
            </w:pPr>
          </w:p>
        </w:tc>
      </w:tr>
      <w:tr w:rsidR="00517B4F" w:rsidRPr="00517B4F" w:rsidTr="00517B4F">
        <w:trPr>
          <w:trHeight w:val="2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7B4F" w:rsidRPr="00517B4F" w:rsidRDefault="00517B4F" w:rsidP="008C65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:rsidR="00517B4F" w:rsidRPr="00C14D3F" w:rsidRDefault="00C14D3F" w:rsidP="00C14D3F">
      <w:pPr>
        <w:autoSpaceDE w:val="0"/>
        <w:autoSpaceDN w:val="0"/>
        <w:adjustRightInd w:val="0"/>
        <w:spacing w:after="0" w:line="240" w:lineRule="auto"/>
        <w:jc w:val="right"/>
        <w:rPr>
          <w:b/>
          <w:u w:val="single"/>
        </w:rPr>
      </w:pPr>
      <w:r w:rsidRPr="00C14D3F">
        <w:rPr>
          <w:b/>
          <w:u w:val="single"/>
        </w:rPr>
        <w:t>27/04/2026</w:t>
      </w:r>
    </w:p>
    <w:sectPr w:rsidR="00517B4F" w:rsidRPr="00C14D3F" w:rsidSect="00561D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561D"/>
    <w:rsid w:val="000B6126"/>
    <w:rsid w:val="000F1AC5"/>
    <w:rsid w:val="00137C57"/>
    <w:rsid w:val="00166730"/>
    <w:rsid w:val="00261CDA"/>
    <w:rsid w:val="00261F0D"/>
    <w:rsid w:val="00315CB9"/>
    <w:rsid w:val="003762B0"/>
    <w:rsid w:val="003F5588"/>
    <w:rsid w:val="00512A1B"/>
    <w:rsid w:val="00517B4F"/>
    <w:rsid w:val="00561DCC"/>
    <w:rsid w:val="0056561D"/>
    <w:rsid w:val="005F37D8"/>
    <w:rsid w:val="006B0461"/>
    <w:rsid w:val="006D4C5D"/>
    <w:rsid w:val="007E4D4B"/>
    <w:rsid w:val="007F0AC5"/>
    <w:rsid w:val="008A6CCB"/>
    <w:rsid w:val="008C6575"/>
    <w:rsid w:val="0096171A"/>
    <w:rsid w:val="00984CB0"/>
    <w:rsid w:val="00BA4607"/>
    <w:rsid w:val="00BE383D"/>
    <w:rsid w:val="00C14D3F"/>
    <w:rsid w:val="00E538EE"/>
    <w:rsid w:val="00EE4E74"/>
    <w:rsid w:val="00F46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83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BE383D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3762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4</Pages>
  <Words>1787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Patrique</cp:lastModifiedBy>
  <cp:revision>16</cp:revision>
  <cp:lastPrinted>2025-09-23T14:05:00Z</cp:lastPrinted>
  <dcterms:created xsi:type="dcterms:W3CDTF">2021-05-03T16:52:00Z</dcterms:created>
  <dcterms:modified xsi:type="dcterms:W3CDTF">2026-04-27T17:28:00Z</dcterms:modified>
</cp:coreProperties>
</file>